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A2" w:rsidRPr="00D07652" w:rsidRDefault="002350A2" w:rsidP="00D076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7652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D0765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7652">
        <w:rPr>
          <w:rFonts w:ascii="Times New Roman" w:hAnsi="Times New Roman" w:cs="Times New Roman"/>
          <w:iCs/>
          <w:sz w:val="24"/>
          <w:szCs w:val="24"/>
          <w:lang w:eastAsia="ru-RU"/>
        </w:rPr>
        <w:t>государственных</w:t>
      </w:r>
      <w:r w:rsidRPr="00D076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7652">
        <w:rPr>
          <w:rFonts w:ascii="Times New Roman" w:hAnsi="Times New Roman" w:cs="Times New Roman"/>
          <w:iCs/>
          <w:sz w:val="24"/>
          <w:szCs w:val="24"/>
          <w:lang w:eastAsia="ru-RU"/>
        </w:rPr>
        <w:t>гарантий</w:t>
      </w:r>
      <w:r w:rsidRPr="00D07652">
        <w:rPr>
          <w:rFonts w:ascii="Times New Roman" w:hAnsi="Times New Roman" w:cs="Times New Roman"/>
          <w:sz w:val="24"/>
          <w:szCs w:val="24"/>
          <w:lang w:eastAsia="ru-RU"/>
        </w:rPr>
        <w:t xml:space="preserve"> бесплатного оказания гражданам медицинской помощи на территории </w:t>
      </w:r>
      <w:r w:rsidRPr="00D07652">
        <w:rPr>
          <w:rFonts w:ascii="Times New Roman" w:hAnsi="Times New Roman" w:cs="Times New Roman"/>
          <w:iCs/>
          <w:sz w:val="24"/>
          <w:szCs w:val="24"/>
          <w:lang w:eastAsia="ru-RU"/>
        </w:rPr>
        <w:t>Орловской</w:t>
      </w:r>
      <w:r w:rsidRPr="00D076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7652">
        <w:rPr>
          <w:rFonts w:ascii="Times New Roman" w:hAnsi="Times New Roman" w:cs="Times New Roman"/>
          <w:iCs/>
          <w:sz w:val="24"/>
          <w:szCs w:val="24"/>
          <w:lang w:eastAsia="ru-RU"/>
        </w:rPr>
        <w:t>области</w:t>
      </w:r>
      <w:r w:rsidRPr="00D0765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D07652">
        <w:rPr>
          <w:rFonts w:ascii="Times New Roman" w:hAnsi="Times New Roman" w:cs="Times New Roman"/>
          <w:iCs/>
          <w:sz w:val="24"/>
          <w:szCs w:val="24"/>
          <w:lang w:eastAsia="ru-RU"/>
        </w:rPr>
        <w:t>2023</w:t>
      </w:r>
      <w:r w:rsidRPr="00D0765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2024 и 2025 годов</w:t>
      </w:r>
    </w:p>
    <w:p w:rsidR="002350A2" w:rsidRPr="00D0765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7652">
        <w:rPr>
          <w:rFonts w:ascii="Times New Roman" w:eastAsia="Times New Roman" w:hAnsi="Times New Roman" w:cs="Times New Roman"/>
          <w:sz w:val="23"/>
          <w:szCs w:val="23"/>
          <w:lang w:eastAsia="ru-RU"/>
        </w:rPr>
        <w:t>I. Общие положения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hyperlink r:id="rId5" w:anchor="/document/12191967/entry/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 ноября 2011 года N 323-ФЗ "Об основах охраны здоровья граждан в Российской Федерации" каждый имеет право на медицинскую помощь, оказываемую без взимания платы в соответствии с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Программой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 гражданам медицинской помощи, в гарантированном объеме.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Программа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 гражданам медицинской помощи на территории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 период 2024 и 2025 годов (далее также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определению порядка и условий предоставления медицинской помощи, критериев доступности и качества медицинской помощи, предоставляемой гражданам на территории Орловской области бесплатно.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Правительство Орловской области при решении вопроса об индексации заработной платы медицинских работников медицинских организаций, подведомственных Департаменту здравоохранения Орловской области, обеспечивает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(к среднемесячному доходу от трудовой деятельности) по Орловской области.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Программа включает в себя территориальную программу обязательного медицинского страхования Орловской области, установленную в соответствии с </w:t>
      </w:r>
      <w:hyperlink r:id="rId6" w:anchor="/document/12180688/entry/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законодательством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об обязательном медицинском страховании (далее также - территориальная программа ОМС).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включает: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1. Перечень видов, форм и условий предоставления медицинской помощи, оказание которой осуществляется бесплатно (</w:t>
      </w:r>
      <w:hyperlink r:id="rId7" w:anchor="/document/406079161/entry/12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 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 (</w:t>
      </w:r>
      <w:hyperlink r:id="rId8" w:anchor="/document/406079161/entry/13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 III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3. Условия и порядок предоставления медицинской помощи на территории Орловской области, Порядок реализации права внеочередного оказания медицинской помощи отдельным категориям граждан в медицинских организациях, находящихся на территории Орловской области (</w:t>
      </w:r>
      <w:hyperlink r:id="rId9" w:anchor="/document/406079161/entry/1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приложения 1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10" w:anchor="/document/406079161/entry/2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2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Перечень медицинских организаций, участвующих в реализации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Программы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 гражданам медицинской помощи на территории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 период 2024 и 2025 годов,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диспансеризацию, в том числе углубленную диспансеризацию, в 2023 году и на плановый период 2024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2025 годов (</w:t>
      </w:r>
      <w:hyperlink r:id="rId11" w:anchor="/document/406079161/entry/3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3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Утвержденную стоимость территориальной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программы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 гражданам медицинской помощи на территории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условиям ее оказания на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 период 2024 и 2025 годов (</w:t>
      </w:r>
      <w:hyperlink r:id="rId12" w:anchor="/document/406079161/entry/4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4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Стоимость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Программы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 гражданам медицинской помощи по источникам финансирования на 2023 год и на плановый период 2024 и 2025 годов (</w:t>
      </w:r>
      <w:hyperlink r:id="rId13" w:anchor="/document/406079161/entry/5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5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</w:t>
      </w:r>
      <w:hyperlink r:id="rId14" w:anchor="/document/406079161/entry/6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6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8. Перечень мероприятий по профилактике заболеваний и формированию здорового образа жизни, осуществляемых в рамках Программы государственных гарантий бесплатного оказания гражданам медицинской помощи на территории Орловской области (</w:t>
      </w:r>
      <w:hyperlink r:id="rId15" w:anchor="/document/406079161/entry/7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7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9. Порядок обеспечения граждан донорской кровью и ее компонентами (</w:t>
      </w:r>
      <w:hyperlink r:id="rId16" w:anchor="/document/406079161/entry/8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8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10. Критерии доступности и качества медицинской помощи (</w:t>
      </w:r>
      <w:hyperlink r:id="rId17" w:anchor="/document/406079161/entry/18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 VIII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11. Порядок льготного лекарственного обеспечения отдельных категорий граждан в Орловской области за счет средств областного бюджета (</w:t>
      </w:r>
      <w:hyperlink r:id="rId18" w:anchor="/document/406079161/entry/9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9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 Положение об организации льготного обеспечения граждан Российской Федерации, проживающих на территории Орловской области,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жизнеугрожающих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хронических прогрессирующих редких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орфанных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заболеваний, приводящих к сокращению продолжительности жизни граждан или их инвалидности (</w:t>
      </w:r>
      <w:hyperlink r:id="rId19" w:anchor="/document/406079161/entry/101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10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13.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Порядок лекарственного обеспечения граждан, имеющих право на получение государственной социальной помощи в виде набора социальных услуг, и организации обеспечения граждан лекарственными препаратами, предназначенными для лечения больных гемофилией,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муковисцидозом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гемолитико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мукополисахаридозом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I, II и VI типов,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апластической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анемией неуточненной, наследственным дефицитом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факторов II (фибриногена), VII (лабильного), X (Стюарта-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Прауэра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), лиц после трансплантации органов и (или) тканей (</w:t>
      </w:r>
      <w:hyperlink r:id="rId20" w:anchor="/document/406079161/entry/11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11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14. Перечень видов высокотехнологичной медицинской помощи,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содержащий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 (</w:t>
      </w:r>
      <w:hyperlink r:id="rId21" w:anchor="/document/406079161/entry/12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12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15. Объем медицинской помощи в амбулаторных условиях, оказываемой с профилактическими и иными целями, на 1 жителя/застрахованное лицо на 2023 год (</w:t>
      </w:r>
      <w:hyperlink r:id="rId22" w:anchor="/document/406079161/entry/13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13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16.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(</w:t>
      </w:r>
      <w:hyperlink r:id="rId23" w:anchor="/document/406079161/entry/14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14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17. Примерный 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 (</w:t>
      </w:r>
      <w:hyperlink r:id="rId24" w:anchor="/document/406079161/entry/15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15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18. Перечень исследований и иных медицинских вмешательств, проводимых в рамках углубленной диспансеризации (</w:t>
      </w:r>
      <w:hyperlink r:id="rId25" w:anchor="/document/406079161/entry/16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16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19. Примерный перечень заболеваний, состояний (групп заболеваний, состояний) с оптимальной длительностью лечения до 3 дней включительно (</w:t>
      </w:r>
      <w:hyperlink r:id="rId26" w:anchor="/document/406079161/entry/17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17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условиях чрезвычайной ситуации и (или) при возникновении угрозы распространения заболеваний, представляющих опасность для окружающих, при установлении Правительством Российской Федерации особенностей реализации базовой программы обязательного медицинского страхования Программа подлежит корректировке.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II. Перечень видов, форм и условий предоставления медицинской помощи, оказание которой осуществляется бесплатно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специализированная, в том числе высокотехнологичная, медицинская помощь;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скорая, в том числе скорая специализированная, медицинская помощь;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27" w:anchor="/document/12191967/entry/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от 21 ноября 2011 года N 323-ФЗ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"Об основах охраны здоровья граждан в Российской Федерации" и </w:t>
      </w:r>
      <w:hyperlink r:id="rId28" w:anchor="/document/12180688/entry/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от 29 ноября 2010 года N 326-ФЗ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"Об обязательном медицинском страховании в Российской Федерации".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29" w:anchor="/document/406079161/entry/12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Перечнем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видов высокотехнологичной медицинской помощи,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содержащим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согласно </w:t>
      </w:r>
      <w:hyperlink r:id="rId30" w:anchor="/document/406079161/entry/12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приложению 12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 (далее - перечень видов высокотехнологичной медицинской помощи).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ситуаций и стихийных бедствий).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 по оказанию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такой помощи.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31" w:anchor="/document/12191967/entry/62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части 2 статьи 6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21 ноября 2011 года N 323-ФЗ "Об основах охраны здоровья граждан в Российской Федерации", в том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числе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препаратами и психотропными лекарственными препаратами, используемыми при посещениях на дому.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Орловской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неинвазивных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лекарственных формах, в том числе применяемых у детей.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Мероприятия по развитию паллиативной медицинской помощи осуществляются в рамках соответствующей государственной программы Орловской области, включающей указанные мероприятия, а также целевые показатели их результативности.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Орловской области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организаций социального обслуживания в порядке, установленном Министерством здравоохранения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расстройствах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Медицинская помощь оказывается в следующих формах: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r:id="rId32" w:anchor="/document/406079161/entry/12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 при следующих заболеваниях и состояниях: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инфекционные и паразитарные болезни;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новообразования;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эндокринной системы;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расстройства питания и нарушения обмена веществ;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болезни нервной системы;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крови, кроветворных органов;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отдельные нарушения, вовлекающие иммунный механизм;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глаза и его придаточного аппарата;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уха и сосцевидного отростка;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системы кровообращения;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органов дыхания;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мочеполовой системы;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кожи и подкожной клетчатки;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болезни костно-мышечной системы и соединительной ткани;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травмы, отравления и некоторые другие последствия воздействия внешних причин;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врожденные аномалии (пороки развития);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деформации и хромосомные нарушения;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беременность, роды, послеродовой период и аборты;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отдельные состояния, возникающие у детей в перинатальный период;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психические расстройства и расстройства поведения;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симптомы, признаки и отклонения от нормы, не отнесенные к заболеваниям и состояниям.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законодательством Российской Федерации отдельные категории граждан имеют право: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обеспечение лекарственными препаратами (в соответствии с </w:t>
      </w:r>
      <w:hyperlink r:id="rId33" w:anchor="/document/406079161/entry/15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V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медицинские осмотры, в том числе профилактические медицинские осмотры, в связи с занятием физической культурой и спортом - несовершеннолетние граждане;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пренатальную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(дородовую) диагностику нарушений развития ребенка - беременные женщины;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аудиологический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скрининг - новорожденные дети и дети первого года жизни;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неонатальный скрининг (классическая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фенилкетонурия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фенилкетонурия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B; врожденный гипотиреоз с диффузным зобом; врожденный гипотиреоз без зоба; кистозный фиброз неуточненный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муковисцидоз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); нарушение обмена галактозы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галактоземия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); адреногенитальное нарушение неуточненное (адреногенитальный синдром); адреногенитальные нарушения, связанные с дефицитом ферментов) и расширенный неонатальный скрининг (недостаточность других уточненных витаминов группы B (дефицит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биотинидазы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(дефицит биотин-зависимой карбоксилазы;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недостаточность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синтетазы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голокарбоксилаз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(недостаточность биотина); другие виды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гиперфенилаланинемии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(дефицит синтеза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биоптерина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тетрагидробиоптерина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дефицит реактивации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биоптерина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тетрагидробиоптерина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); нарушения обмена тирозина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тирозинемия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); болезнь с запахом кленового сиропа мочи (болезнь "кленового сиропа"); другие виды нарушений обмена аминокислот с разветвленной цепью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пропионовая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);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метилмалоновая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метилмалонил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KoA-мутазы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метилмалоновая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);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метилмалоновая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(недостаточность кобаламина A);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метилмалоновая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(недостаточность кобаламина B);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метилмалоновая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(дефицит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метилмалонил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KoA-эпимеразы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);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метилмалоновая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(недостаточность кобаламина D);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метилмалоновая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(недостаточность кобаламина C); изовалериановая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изовалериановая); 3-гидрокси-3-метилглутаровая недостаточность; бета-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кетотиолазная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недостаточность; нарушения обмена жирных кислот (первичная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карнитиновая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недостаточность;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среднецепочечная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ацил-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KoA</w:t>
      </w:r>
      <w:proofErr w:type="spellEnd"/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дегидрогеназная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недостаточность; длинноцепочечная ацетил-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KoA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дегидрогеназная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недостаточность (дефицит очень длинной цепи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ацил-KoA-дегидрогеназы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(VLCAD); очень длинноцепочечная ацетил-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KoA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дегидрогеназная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недостаточность (дефицит очень длинной цепи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ацил-KoA-дегидрогеназы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(VLCAD);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недостаточность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митохондриального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трифункционального белка; недостаточность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карнитинпальмитоилтрансферазы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тип I; недостаточность карнитин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пальмитоилтрансферазы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, тип II; недостаточность карнитин/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ацилкарнитинтранслоказы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; нарушения обмена серосодержащих аминокислот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гомоцистинурия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); нарушения обмена цикла мочевины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цитруллинемия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тип I;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аргиназная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недостаточность); нарушения обмена лизина и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гидроксилизина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глутаровая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ацидемея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тип I;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глутаровая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ацидемия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, тип II (рибофлавин - чувствительная форма); детская спинальная мышечная атрофия, I тип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Вердинга-Гоффмана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другие наследственные спинальные мышечные атрофии; первичные иммунодефициты) - новорожденные, родившиеся живыми.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Беременные женщины, обратившиеся в медицинские организации и иные организации, оказывающие медицинскую помощь по профилю "акушерство и гинекология" в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амбулаторных условиях, имеют право на получение правовой, психологической и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медико-социальной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помощи, в том числе по профилактике прерывания беременности.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- за пределами Российской Федерации) детям, страдающим тяжелыми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жизнеугрожающими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хроническими заболеваниями, в том числе прогрессирующими редкими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орфанными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федеральный перечень реабилитационных мероприятий и услуг, предоставляемых инвалиду.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помощи, утвержденным Министерством здравоохранения Российской Федерации.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Пациентам в возрасте до 21 года при отдельных онкологических заболеваниях,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IV. Территориальная программа обязательного медицинского страхования Орловской области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Территориальная программа обязательного медицинского страхования Орловской области является составной частью Программы.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территориальной программы обязательного медицинского страхования Орловской области: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r:id="rId34" w:anchor="/document/406079161/entry/13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разделе III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r:id="rId35" w:anchor="/document/406079161/entry/13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разделе III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</w:t>
      </w:r>
      <w:hyperlink r:id="rId36" w:anchor="/document/406079161/entry/13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разделе III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Программы, мероприятия по медицинской реабилитации, осуществляемой в медицинских организациях амбулаторно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стационарно и в условиях дневного стационара,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аудиологическому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скринингу, а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Граждане, переболевшие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(COVID-19), вправе пройти углубленную диспансеризацию, включающую исследования и иные медицинские вмешательства согласно Перечню, который приведен в </w:t>
      </w:r>
      <w:hyperlink r:id="rId37" w:anchor="/document/406079161/entry/16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приложении 16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Территориальный фонд обязательного медицинского страхования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(СМС-сообщения) и иных доступных сре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св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язи.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r:id="rId38" w:anchor="/document/406079161/entry/161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пунктом 1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приложения 16 к Программе в течение одного дня.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ии и ее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результатов.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могут привлекаться медицинские работники медицинских организаций, оказывающих специализированную медицинскую помощь.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(COVID-19), реализация базовой программы обязательного медицинского страхования в 2023 году будет осуществляться с учетом таких особенностей.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</w:t>
      </w:r>
      <w:hyperlink r:id="rId39" w:anchor="/document/12180688/entry/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29 ноября 2010 года N 326-ФЗ "Об обязательном медицинском страховании в Российской Федерации".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Структура тарифа на оплату медицинской помощи по обязательному медицинскому страхованию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100 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 млн. рублей при отсутствии у медицинской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погашенной в течение 3 месяцев кредиторской задолженности за счет средств обязательного медицинского страхования.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Тарифы на оплату медицинской помощи устанавливаются в соответствии со </w:t>
      </w:r>
      <w:hyperlink r:id="rId40" w:anchor="/document/12180688/entry/3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статьей 30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29 ноября 2010 года N 326-ФЗ "Об обязательном медицинском страховании в Российской Федерации" тарифным соглашением, заключаемым между Департаментом здравоохранения Орловской области, Территориальным фондом обязательного медицинского страхования Орловской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1" w:anchor="/document/12191967/entry/76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статьей 76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21 ноября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2011 года N 323-ФЗ "Об основах 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 Орловской области, создаваемой в Орловской области в установленном порядке.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денежных выплат: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- за оказанную медицинскую помощь в амбулаторных условиях;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патронажным), - за оказанную медицинскую помощь в амбулаторных условиях;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врачам, фельдшерам и медицинским сестрам медицинских организаций и подразделений скорой медицинской помощи - за оказанную скорую медицинскую помощь вне медицинской организации;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врачам-специалистам - за оказанную медицинскую помощь в амбулаторных условиях.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Примерный перечень групп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</w:t>
      </w:r>
      <w:hyperlink r:id="rId42" w:anchor="/document/406079161/entry/15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приложении 15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рамках проведения профилактических мероприятий Департамент здравоохранения Орловской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Профилактические мероприятия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организуются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Департамент здравоохранения Орловской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43" w:anchor="/document/12125268/entry/5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трудовым законодательством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с учетом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пределами установленной для них продолжительности рабочего времени.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реализации территориальной программы ОМС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оплате медицинской помощи, оказанной в амбулаторных условиях: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подушевому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биопсийного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патологоанатомические исследования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биопсийного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(операционного) материала), тестирования на выявление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(COVID-19), профилактических медицинских осмотров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</w:t>
      </w:r>
      <w:hyperlink r:id="rId44" w:anchor="/document/406079161/entry/1001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*(1)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помощи.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Финансовое обеспечение стимулирования медицинских организаций, имеющих прикрепленное население для оказания медицинской помощи в амбулаторных условиях, за достижение показателей результативности их деятельности, осуществляется в пределах средств, предусмотренных на эти цели в бюджете Федерального фонда обязательного медицинского страхования.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единицу объема медицинской помощи - за медицинскую услугу, посещение, обращение (законченный случай), при оплате: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а)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б) медицинской помощи, оказанной в медицинских организациях, не имеющих прикрепившихся лиц;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норматива финансирования на прикрепившихся лиц, получаемые иной медицинской организацией;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отдельных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сердечно-сосудистой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биопсийного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(операционного) материала, тестирования на выявление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д) профилактических медицинских осмотров и диспансеризации, в том числе углубленной диспансеризации;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е) диспансерного наблюдения отдельных категорий граждан из числа взрослого населения;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исключением случаев оказания медицинской помощи по группам заболеваний, состояний, приведенных в </w:t>
      </w:r>
      <w:hyperlink r:id="rId45" w:anchor="/document/406079161/entry/17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приложении 17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Программе, в том числе в сочетании с оплатой за услугу диализа;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оплате медицинской помощи, оказанной в условиях дневного стационара: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лечения), за исключением случаев оказания медицинской помощи по группам заболеваний, состояний, приведенных в </w:t>
      </w:r>
      <w:hyperlink r:id="rId46" w:anchor="/document/406079161/entry/17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приложении 17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подушевому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нормативу финансирования;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рамках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этом оплата иной медицинской помощи, оказанной в амбулаторных условиях (за исключением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а также молекулярно-генетических исследований и патологоанатомических исследований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биопсийного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(операционного) материала, тестирования на выявление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наблюдения,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подушевому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отдельные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 на прикрепившихся лиц. В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Финансовое обеспечение профилактических медицинских осмотров, диспансеризации и диспансерного наблюдения осуществляется за единицу объема медицинской помощи (комплексное посещение), проводимых в соответствии с порядками, утверждаемыми Министерством здравоохранения Российской Федерации в соответствии с </w:t>
      </w:r>
      <w:hyperlink r:id="rId47" w:anchor="/document/12191967/entry/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 ноября 2011 года N 323-ФЗ "Об основах охраны здоровья граждан в Российской Федерации".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подушевому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показателей результативности деятельности медицинской организации, включая показатели объема медицинской помощи.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биопсийного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(операционного) материала, тестирования на выявление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финансовое обеспечение фельдшерских и фельдшерско-акушерских пунктов.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 финансирования на прикрепившихся лиц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включает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расходы на оказание медицинской помощи с применением телемедицинских технологий.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биопсийного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сосудистой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биопсийного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 методом полимеразной цепной реакции в случае: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наличия у застрахованных граждан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(COVID-19), в том числе для оценки результатов проводимого лечения;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положительного результата исследования на выявление возбудителя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(COVID-19), полученного с использованием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экспресс-теста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Орловская область вправе установить в рамках реализации Программы дополнительный перечень случаев, при которых проведение исследований на наличие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 методом полимеразной цепной реакции осуществляется за счет бюджетных ассигнований областного бюджета,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в медицинские организации, расположенные за пределами Орловской области, в которой проживает гражданин, при оказании ему медицинской помощи по территориальной программе обязательного медицинского страхования, на оказание специализированной медицинской помощи в плановой форме выдается лечащим врачом медицинской организации, которую гражданин выбрал, в том числе по территориально-участковому принципу, и проходит диагностику и лечение в рамках получения первичной медико-санитарной помощи или в которой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гражданин получает специализированную медицинскую помощь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необходимости перевода в другую медицинскую организацию для получения специализированной медицинской помощи в соответствии с порядками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включает: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нормативы объемов предоставления медицинской помощи в расчете на 1 застрахованное лицо (в соответствии с </w:t>
      </w:r>
      <w:hyperlink r:id="rId48" w:anchor="/document/406079161/entry/16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VI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нормативы финансовых затрат на единицу объема предоставления медицинской помощи, а также нормативы финансового обеспечения территориальной программы обязательного медицинского страхования в расчете на 1 застрахованное лицо (в соответствии с </w:t>
      </w:r>
      <w:hyperlink r:id="rId49" w:anchor="/document/406079161/entry/16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VI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требования к Программе и условиям оказания медицинской помощи (в соответствии с </w:t>
      </w:r>
      <w:hyperlink r:id="rId50" w:anchor="/document/406079161/entry/17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VII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критерии доступности и качества медицинской помощи (в соответствии с </w:t>
      </w:r>
      <w:hyperlink r:id="rId51" w:anchor="/document/406079161/entry/18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VIII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Программы).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территориальной программе ОМС в расчете на 1 застрахованное лицо устанавливаются с учетом структуры заболеваемости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Нормативы объема предоставления медицинской помощи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оказании экстренной медицинской помощи гражданам медицинскими организациями, не участвующими в реализации территориальной программы обязательного медицинского страхования, возмещение понесенных расходов осуществляется на основании договоров, заключенных между медицинской организацией, оказавшей экстренную помощь, и медицинской организацией по месту прикрепления пострадавшего, по тарифам, определяемым тарифным соглашением, за фактически оказанную помощь.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V. Финансовое обеспечение Программы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Источниками финансового обеспечения Программы являются средства федерального бюджета, областного бюджета, а также средства обязательного медицинского страхования.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средств обязательного медицинского страхования в рамках территориальной программы обязательного медицинского страхования Орловской области: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52" w:anchor="/document/406079161/entry/121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 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перечня видов высокотехнологичной медицинской помощи, при заболеваниях и состояниях, указанных в </w:t>
      </w:r>
      <w:hyperlink r:id="rId53" w:anchor="/document/406079161/entry/14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разделе III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r:id="rId54" w:anchor="/document/406079161/entry/14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разделе III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Программы, в том числе в рамках диспансеризации, диспансеризацию, (при заболеваниях и состояниях, указанных в </w:t>
      </w:r>
      <w:hyperlink r:id="rId55" w:anchor="/document/406079161/entry/14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разделе III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диспансерное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аудиологическому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осуществляется проведение медицинской профилактики заболеваний, в том числе профилактики инфекционных заболеваний (за исключением обеспечения аллергеном туберкулезным - туберкулином, аллергеном туберкулезным рекомбинантным - для проведения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туберкулинодиагностики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), проведение профилактических прививок, включая иммунизацию населения по эпидемическим и медицинским показаниям (за исключением приобретения, транспортировки и хранения вакцин) в соответствии с национальным календарем профилактических прививок и календарем профилактических прививок по эпидемическим показаниям.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 (далее - Фонд), осуществляется финансовое обеспечение: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оказания медицинской помощи больным онкологическими заболеваниями в соответствии с клиническими рекомендациями;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углубленной диспансеризации;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медицинской реабилитации.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счет бюджетных ассигнований федерального бюджета,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r:id="rId56" w:anchor="/document/406079161/entry/122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перечня видов высокотехнологичной медицинской помощи </w:t>
      </w:r>
      <w:hyperlink r:id="rId57" w:anchor="/document/406079161/entry/12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приложения 12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 оказываемой: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медицинскими организациями, подведомственными Департаменту здравоохранения Орловской области.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бюджетных ассигнований федерального бюджета осуществляется финансовое обеспечение: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тарифов на оплату медицинской помощи, предусмотренную базовой программой обязательного медицинского страхования);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расширенного неонатального скрининга;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муковисцидозом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гемолитико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мукополисахаридозом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I, II и VI типов,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апластической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Прауэра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), лиц после трансплантации органов и (или) тканей, по перечню лекарственных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препаратов,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сформированному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установленном порядке и утверждаемому Правительством Российской Федерации, в том числе: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отношении взрослых в возрасте 18 лет и старше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жизнеугрожающими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хроническими заболеваниями, в том числе редкими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орфанными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заболеваниями, "Круг добра", в соответствии с порядком приобретения лекарственных препаратов и медицинских изделий для конкретного ребенка с тяжелым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жизнеугрожающим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хроническим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заболеванием, в том числе редким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орфанным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 заболеванием, либо для групп таких детей, установленным Правительством Российской Федерации;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8" w:anchor="/document/180687/entry/200006211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пунктом 1 части 1 статьи 6.2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17 июля 1999 года N 178-ФЗ "О государственной социальной помощи";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</w:t>
      </w:r>
      <w:hyperlink r:id="rId59" w:anchor="/document/71848440/entry/1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государственной программы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"Развитие здравоохранения", утвержденной </w:t>
      </w:r>
      <w:hyperlink r:id="rId60" w:anchor="/document/71848440/entry/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Правительства Российской Федерации от 26 декабря 2017 года N 1640 "Об утверждении государственной программы Российской Федерации "Развитие здравоохранения";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жизнеугрожающими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хроническими заболеваниями, в том числе прогрессирующими редкими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орфанными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услуг, предоставляемых инвалиду;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бюджетных ассигнований областного бюджета осуществляется финансовое обеспечение: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скорой, в том числе скорой специализированной, медицинской помощи, не включенной в территориальную программу ОМС, специализированной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связанные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с употреблением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психоактивных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в образовательных организациях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включенных в базовую программу обязательного медицинского страхования,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оплату медицинской помощи, предусмотренную в территориальной программе ОМС, а также консультаций врачами-психиатрами, наркологами при проведении профилактического медицинского осмотра;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высокотехнологичной медицинской помощи, оказываемой в медицинских организациях, подведомственных Департаменту здравоохранения Орловской области, в соответствии с </w:t>
      </w:r>
      <w:hyperlink r:id="rId61" w:anchor="/document/406079161/entry/122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перечня видов высокотехнологичной медицинской помощи;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слухопротезирование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отдельных категорий граждан в порядке, установленном Правительством Орловской области;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медицинской помощи лицам, не идентифицированным в качестве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застрахованных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ОМС;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после его смерти в случае их обращения в медицинскую организацию.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 на основании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межрегионального соглашения, заключаемого субъектами Российской Федерации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, включающего двустороннее урегулирование вопроса возмещения затрат.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Орловская область 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Департаменту здравоохранения Орловской области, в соответствии с </w:t>
      </w:r>
      <w:hyperlink r:id="rId62" w:anchor="/document/406079161/entry/121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перечня видов высокотехнологичной медицинской помощи.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средств бюджетных ассигнований областного бюджета осуществляются: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жизнеугрожающих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хронических прогрессирующих редких (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орфанных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) заболеваний, приводящих к сокращению продолжительности жизни граждан или к их инвалидности;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приобретение медицинских иммунобиологических препаратов для иммунизации населения в соответствии с календарем профилактических прививок по эпидемическим показаниям, включая обеспечение аллергеном туберкулезным (туберкулин, аллерген туберкулезный рекомбинантный) для проведения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туберкулинодиагностики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пренатальная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заболеваний,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органом государственной власти субъектов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по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медицинским показаниям в соответствии со стандартами медицинской помощи представлен в </w:t>
      </w:r>
      <w:hyperlink r:id="rId63" w:anchor="/document/406079161/entry/9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приложениях 9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4" w:anchor="/document/406079161/entry/101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10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65" w:anchor="/document/406079161/entry/11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11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Программе.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законодательством Российской Федерации расходы областного бюджета включают в себя обеспечение медицинских организаций лекарственными препаратами и иными средствами, медицинскими изделиями, иммунобиологическими препаратами и дезинфекционными средствами, донорской кровью и ее компонентами.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Программы за счет бюджетных ассигнований областного бюджета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призыве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того, за счет бюджетных ассигнований федерального бюджета и областного бюджета в установленном порядке оказывается медицинская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помощь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 и Департаменту здравоохранения Орловской области, за исключением видов медицинской помощи, оказываемых за счет средств обязательного медицинского страхования, в БУЗ ОО "Орловский областной врачебно-физкультурный диспансер", БУЗ ОО "Орловское бюро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судебно-медицинской экспертизы", БУЗ ОО "Станция переливания крови", БУЗ ОО "Медицинский информационно-аналитический центр", БУЗ ОО "Орловский областной центр по профилактике и борьбе со СПИД и инфекционными заболеваниями", КУЗ ОТ "Орловский областной медицинский центр мобилизационных резервов "Резерв", БУЗ ОО "Детский санаторий "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Орловчанка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", КУЗ ОО "Специализированный дом ребенка", хосписах, домах (больницах) сестринского ухода, молочных кухнях, центре медицинской профилактики (за исключением первичной медико-санитарной помощи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включенной в территориальную программу обязательного медицинского страхования)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территориальную программу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обязательного медицинского страхования (заболевания, передаваемые половым путем, вызванные вирусом иммунодефицита человека, 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психоактивных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бюджетных ассигнований областного бюджета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Финансовое обеспечение компенсационных выплат отдельным категориям лиц, подвергающихся риску заражения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инфекцией, порядок предоставления которых установлен постановлением Правительства Российской Федерации от 15.06.2022 N 1268, осуществляется за счет средств фонда оплаты труда медицинской организации, сформированный из всех источников, разрешенных законодательством Российской Федерации, в том числе средств обязательного медицинского страхования.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VI.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ОМС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подушевых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нормативов финансового обеспечения, предусмотренных Программой.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средние нормативы объема медицинской помощи за счет областного бюджета,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Нормативы объема скорой, в том числе скорой специализированной, медицинской помощи, не включенной в территориальную программу ОМС, включая медицинскую эвакуацию, устанавливаются субъектами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Орловской областью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финансового обеспечения первичной медико-санитарной помощи.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В части медицинской помощи, финансовое обеспечение которой осуществляется за счет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населения, установленные в территориальных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целях обеспечения доступности медицинской помощи гражданам,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проживающим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формировании территориальной программы обязательного медицинского страхования учитывается объем специализированной, в том числе высокотехнологичной, медицинской помощи в стационарных условиях и в условиях дневных стационаров, оказываемой федеральными медицинскими организациями, в соответствии с установленными Программой нормативами.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Орловская область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в условиях дневных стационаров, могут быть обоснованно выше или ниже средних нормативов, установленных Программой.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Орловская область осуществляет планирование объема и финансового обеспечения медицинской помощи пациентам с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 в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рамках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установленных в территориальной программе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этом объем и финансовое обеспечение медицинской помощи пациентам с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 не включают проведение гражданам, в отношении которых отсутствуют сведения о перенесенном заболевании, вызванной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(COVID-19), исследований на наличие антител к возбудителю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(COVID-19) (любым из методов) в целях подтверждения факта ранее перенесенного заболевания, вызванного новой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(COVID-19).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Установленные в территориальной программе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подушевых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нормативов финансового обеспечения, предусмотренных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программой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 гражданам медицинской помощи на территории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 период 2024 и 2025 годов.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Орловская область устанавливает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патологоанатомических исследований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биопсийного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исследований систем, органов и тканей человека, обусловленного заболеваемостью населения.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Нормативы объема патологоанатомических исследований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биопсийного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 устанавливаются исходя из средних нормативов, предусмотренных настоящим разделом Программы.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66" w:anchor="/document/70173870/entry/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Правительства Российской Федерации от 5 мая 2012 года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 за счет бюджетных ассигнований областного бюджета устанавливаются с учетом региональных особенностей и обеспечивают выполнение расходных обязательств Орловской области, в том числе в части заработной платы медицинских работников.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Средние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финансирования, предусмотренные Программой (без учета расходов федерального бюджета), составляют: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бюджетных ассигнований областного бюджета (в расчете на 1 жителя) в 2023 году - 4 088,4 рубля, 2024 году - 4 251,9 рубля, 2025 году - 4 421,1 рубля;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1 застрахованное лицо) в 2023 году - 15 823,6 рубля, в том числе для оказания медицинской помощи по профилю "Медицинская реабилитация" - 357,0 рубля, в 2024 году - 16 966,6 рубля, в том числе для оказания медицинской помощи по профилю "Медицинская реабилитация" - 378,8 рубля, в 2025 году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- 17 899,7 рубля, в том числе для оказания медицинской помощи по профилю "Медицинская реабилитация" - 400,3 рубля.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Средний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подушевой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 оказания медицинской помощи по профилю "Медицинская реабилитация" включает расходы на оказание медицинской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 года.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установлении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областного бюджета, осуществляется перераспределение бюджетных ассигнований областного бюджета по видам и условиям оказания медицинской помощи в пределах размера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норматива финансирования территориальной программы за счет бюджетных ассигнований областного бюджета.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Средние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подушевые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r:id="rId67" w:anchor="/document/406079161/entry/122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разделом II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перечня видов высокотехнологичной медицинской помощи </w:t>
      </w:r>
      <w:hyperlink r:id="rId68" w:anchor="/document/406079161/entry/12000" w:history="1">
        <w:r w:rsidRPr="002350A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приложения 12</w:t>
        </w:r>
      </w:hyperlink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Программе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 гражданам медицинской помощи территории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0A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 период 2024 и 2025 годов.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Орловской области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установленным базовой программой обязательного медицинского страхования.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Финансовое обеспечение территориальной программы обязательного медицинского страхования в указанных случаях осуществляется за счет платежей Орловской области,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Орловской области.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Орловской области о бюджете территориального фонда обязательного медицинского страхования.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рамках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норматива финансового обеспечения территориальной программы обязательного медицинского страхования Орловская область может устанавливать дифференцированные нормативы финансовых затрат на единицу объема медицинской помощи в расчете на 1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помощи с учетом особенностей половозрастного состава и плотности населения, транспортной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доступности, уровня и структуры заболеваемости населения, а также климатических и географических особенностей регионов.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обеспечения доступности медицинской помощи гражданам, </w:t>
      </w: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проживающим</w:t>
      </w:r>
      <w:proofErr w:type="gram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в малонаселенных, отдаленных и (или) труднодоступных населенных пунктах, а также в сельской местности, устанавливаются коэффициенты дифференциации к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подушевому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 тыс. человек, применяются следующие коэффициенты дифференциации к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подушевому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  <w:proofErr w:type="gramEnd"/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медицинских организаций, обслуживающих до 20 тыс. человек, - коэффициент дифференциации составляет не менее 1,113;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медицинских организаций, обслуживающих свыше 20 тысяч человек, - не менее 1,04.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норматива финансирования на прикрепившихся к медицинской организации лиц не менее 1,6.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финансового обеспечения фельдшерских и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 год: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фельдшерского или фельдшерско-акушерского пункта, обслуживающего до 100 жителей, - 352,26 тыс. рублей;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фельдшерского или фельдшерско-акушерского пункта, обслуживающего от 100 до 900 жителей, - 1 174,2 тыс. рублей;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фельдшерского или фельдшерско-акушерского пункта, обслуживающего от 900 до 1500 жителей, - 1 860,3 тыс. рублей;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фельдшерского или фельдшерско-акушерского пункта, обслуживающего от 1500 до 2000 жителей, - 2 088,9 тыс. рублей.</w:t>
      </w:r>
    </w:p>
    <w:p w:rsidR="002350A2" w:rsidRPr="002350A2" w:rsidRDefault="002350A2" w:rsidP="0023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</w:t>
      </w:r>
      <w:proofErr w:type="spellStart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подушевого</w:t>
      </w:r>
      <w:proofErr w:type="spellEnd"/>
      <w:r w:rsidRPr="002350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обеспечения.</w:t>
      </w:r>
      <w:bookmarkStart w:id="0" w:name="_GoBack"/>
      <w:bookmarkEnd w:id="0"/>
    </w:p>
    <w:sectPr w:rsidR="002350A2" w:rsidRPr="0023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2D"/>
    <w:rsid w:val="00006241"/>
    <w:rsid w:val="002350A2"/>
    <w:rsid w:val="009D632D"/>
    <w:rsid w:val="00D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0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95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7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33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47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2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17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9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75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48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23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15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16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00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10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80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9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88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47" Type="http://schemas.openxmlformats.org/officeDocument/2006/relationships/hyperlink" Target="https://demo.garant.ru/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demo.garant.ru/" TargetMode="External"/><Relationship Id="rId63" Type="http://schemas.openxmlformats.org/officeDocument/2006/relationships/hyperlink" Target="https://demo.garant.ru/" TargetMode="External"/><Relationship Id="rId68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mo.garant.ru/" TargetMode="External"/><Relationship Id="rId29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s://demo.garant.ru/" TargetMode="External"/><Relationship Id="rId45" Type="http://schemas.openxmlformats.org/officeDocument/2006/relationships/hyperlink" Target="https://demo.garant.ru/" TargetMode="External"/><Relationship Id="rId53" Type="http://schemas.openxmlformats.org/officeDocument/2006/relationships/hyperlink" Target="https://demo.garant.ru/" TargetMode="External"/><Relationship Id="rId58" Type="http://schemas.openxmlformats.org/officeDocument/2006/relationships/hyperlink" Target="https://demo.garant.ru/" TargetMode="External"/><Relationship Id="rId66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demo.garant.ru/" TargetMode="External"/><Relationship Id="rId57" Type="http://schemas.openxmlformats.org/officeDocument/2006/relationships/hyperlink" Target="https://demo.garant.ru/" TargetMode="External"/><Relationship Id="rId61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demo.garant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demo.garant.ru/" TargetMode="External"/><Relationship Id="rId6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s://demo.garant.ru/" TargetMode="External"/><Relationship Id="rId56" Type="http://schemas.openxmlformats.org/officeDocument/2006/relationships/hyperlink" Target="https://demo.garant.ru/" TargetMode="External"/><Relationship Id="rId64" Type="http://schemas.openxmlformats.org/officeDocument/2006/relationships/hyperlink" Target="https://demo.garant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emo.garant.ru/" TargetMode="External"/><Relationship Id="rId51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demo.garant.ru/" TargetMode="External"/><Relationship Id="rId59" Type="http://schemas.openxmlformats.org/officeDocument/2006/relationships/hyperlink" Target="https://demo.garant.ru/" TargetMode="External"/><Relationship Id="rId67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54" Type="http://schemas.openxmlformats.org/officeDocument/2006/relationships/hyperlink" Target="https://demo.garant.ru/" TargetMode="External"/><Relationship Id="rId62" Type="http://schemas.openxmlformats.org/officeDocument/2006/relationships/hyperlink" Target="https://demo.garant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14564</Words>
  <Characters>83019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2023-02-10T08:26:00Z</dcterms:created>
  <dcterms:modified xsi:type="dcterms:W3CDTF">2023-02-10T09:12:00Z</dcterms:modified>
</cp:coreProperties>
</file>